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3F2" w:rsidRDefault="005343F2" w:rsidP="005343F2">
      <w:pPr>
        <w:jc w:val="right"/>
        <w:rPr>
          <w:rFonts w:ascii="Garamond" w:eastAsia="Times New Roman" w:hAnsi="Garamond" w:cs="Arial"/>
          <w:color w:val="222222"/>
          <w:shd w:val="clear" w:color="auto" w:fill="FFFFFF"/>
        </w:rPr>
      </w:pPr>
      <w:r>
        <w:rPr>
          <w:rFonts w:ascii="Garamond" w:eastAsia="Times New Roman" w:hAnsi="Garamond" w:cs="Arial"/>
          <w:color w:val="222222"/>
          <w:shd w:val="clear" w:color="auto" w:fill="FFFFFF"/>
        </w:rPr>
        <w:fldChar w:fldCharType="begin"/>
      </w:r>
      <w:r>
        <w:rPr>
          <w:rFonts w:ascii="Garamond" w:eastAsia="Times New Roman" w:hAnsi="Garamond" w:cs="Arial"/>
          <w:color w:val="222222"/>
          <w:shd w:val="clear" w:color="auto" w:fill="FFFFFF"/>
        </w:rPr>
        <w:instrText xml:space="preserve"> DATE \@ "MMMM d, yyyy" </w:instrText>
      </w:r>
      <w:r>
        <w:rPr>
          <w:rFonts w:ascii="Garamond" w:eastAsia="Times New Roman" w:hAnsi="Garamond" w:cs="Arial"/>
          <w:color w:val="222222"/>
          <w:shd w:val="clear" w:color="auto" w:fill="FFFFFF"/>
        </w:rPr>
        <w:fldChar w:fldCharType="separate"/>
      </w:r>
      <w:r w:rsidR="00A64025">
        <w:rPr>
          <w:rFonts w:ascii="Garamond" w:eastAsia="Times New Roman" w:hAnsi="Garamond" w:cs="Arial"/>
          <w:noProof/>
          <w:color w:val="222222"/>
          <w:shd w:val="clear" w:color="auto" w:fill="FFFFFF"/>
        </w:rPr>
        <w:t>December 30, 2019</w:t>
      </w:r>
      <w:r>
        <w:rPr>
          <w:rFonts w:ascii="Garamond" w:eastAsia="Times New Roman" w:hAnsi="Garamond" w:cs="Arial"/>
          <w:color w:val="222222"/>
          <w:shd w:val="clear" w:color="auto" w:fill="FFFFFF"/>
        </w:rPr>
        <w:fldChar w:fldCharType="end"/>
      </w:r>
    </w:p>
    <w:p w:rsidR="005343F2" w:rsidRDefault="005343F2" w:rsidP="005343F2">
      <w:pPr>
        <w:rPr>
          <w:rFonts w:ascii="Garamond" w:eastAsia="Times New Roman" w:hAnsi="Garamond" w:cs="Arial"/>
          <w:color w:val="222222"/>
          <w:shd w:val="clear" w:color="auto" w:fill="FFFFFF"/>
        </w:rPr>
      </w:pPr>
    </w:p>
    <w:p w:rsidR="005343F2" w:rsidRDefault="005343F2" w:rsidP="005343F2">
      <w:pPr>
        <w:rPr>
          <w:rFonts w:ascii="Garamond" w:eastAsia="Times New Roman" w:hAnsi="Garamond" w:cs="Arial"/>
          <w:color w:val="222222"/>
          <w:shd w:val="clear" w:color="auto" w:fill="FFFFFF"/>
        </w:rPr>
      </w:pPr>
    </w:p>
    <w:p w:rsidR="005343F2" w:rsidRPr="002E68A1" w:rsidRDefault="005343F2" w:rsidP="005343F2">
      <w:pPr>
        <w:rPr>
          <w:rFonts w:ascii="Garamond" w:eastAsia="Times New Roman" w:hAnsi="Garamond" w:cs="Times New Roman"/>
        </w:rPr>
      </w:pPr>
      <w:r>
        <w:rPr>
          <w:rFonts w:ascii="Garamond" w:eastAsia="Times New Roman" w:hAnsi="Garamond" w:cs="Arial"/>
          <w:color w:val="222222"/>
          <w:shd w:val="clear" w:color="auto" w:fill="FFFFFF"/>
        </w:rPr>
        <w:t xml:space="preserve">To the editors of </w:t>
      </w:r>
      <w:r w:rsidRPr="005343F2">
        <w:rPr>
          <w:rFonts w:ascii="Garamond" w:eastAsia="Times New Roman" w:hAnsi="Garamond" w:cs="Arial"/>
          <w:i/>
          <w:color w:val="222222"/>
          <w:shd w:val="clear" w:color="auto" w:fill="FFFFFF"/>
        </w:rPr>
        <w:t>The Journal of Analytic Theology</w:t>
      </w:r>
      <w:r w:rsidRPr="002E68A1">
        <w:rPr>
          <w:rFonts w:ascii="Garamond" w:eastAsia="Times New Roman" w:hAnsi="Garamond" w:cs="Arial"/>
          <w:color w:val="222222"/>
          <w:shd w:val="clear" w:color="auto" w:fill="FFFFFF"/>
        </w:rPr>
        <w:t>, </w:t>
      </w:r>
    </w:p>
    <w:p w:rsidR="005343F2" w:rsidRPr="002E68A1" w:rsidRDefault="005343F2" w:rsidP="005343F2">
      <w:pPr>
        <w:shd w:val="clear" w:color="auto" w:fill="FFFFFF"/>
        <w:rPr>
          <w:rFonts w:ascii="Garamond" w:eastAsia="Times New Roman" w:hAnsi="Garamond" w:cs="Arial"/>
          <w:color w:val="222222"/>
        </w:rPr>
      </w:pPr>
    </w:p>
    <w:p w:rsidR="005343F2" w:rsidRDefault="005343F2" w:rsidP="005343F2">
      <w:pPr>
        <w:shd w:val="clear" w:color="auto" w:fill="FFFFFF"/>
        <w:rPr>
          <w:rFonts w:ascii="Garamond" w:eastAsia="Times New Roman" w:hAnsi="Garamond" w:cs="Arial"/>
          <w:color w:val="222222"/>
        </w:rPr>
      </w:pPr>
    </w:p>
    <w:p w:rsidR="005343F2" w:rsidRPr="002E68A1" w:rsidRDefault="005343F2" w:rsidP="005343F2">
      <w:pPr>
        <w:shd w:val="clear" w:color="auto" w:fill="FFFFFF"/>
        <w:rPr>
          <w:rFonts w:ascii="Garamond" w:eastAsia="Times New Roman" w:hAnsi="Garamond" w:cs="Arial"/>
          <w:color w:val="222222"/>
        </w:rPr>
      </w:pPr>
      <w:r w:rsidRPr="002E68A1">
        <w:rPr>
          <w:rFonts w:ascii="Garamond" w:eastAsia="Times New Roman" w:hAnsi="Garamond" w:cs="Arial"/>
          <w:color w:val="222222"/>
        </w:rPr>
        <w:t xml:space="preserve">I would like to submit the following </w:t>
      </w:r>
      <w:r w:rsidR="00A64025">
        <w:rPr>
          <w:rFonts w:ascii="Garamond" w:eastAsia="Times New Roman" w:hAnsi="Garamond" w:cs="Arial"/>
          <w:color w:val="222222"/>
        </w:rPr>
        <w:t xml:space="preserve">discussion </w:t>
      </w:r>
      <w:r w:rsidRPr="002E68A1">
        <w:rPr>
          <w:rFonts w:ascii="Garamond" w:eastAsia="Times New Roman" w:hAnsi="Garamond" w:cs="Arial"/>
          <w:color w:val="222222"/>
        </w:rPr>
        <w:t>paper, on behalf of myself and my co-authors, to be considered for publication. </w:t>
      </w:r>
    </w:p>
    <w:p w:rsidR="005343F2" w:rsidRPr="002E68A1" w:rsidRDefault="005343F2" w:rsidP="005343F2">
      <w:pPr>
        <w:shd w:val="clear" w:color="auto" w:fill="FFFFFF"/>
        <w:rPr>
          <w:rFonts w:ascii="Garamond" w:eastAsia="Times New Roman" w:hAnsi="Garamond" w:cs="Arial"/>
          <w:color w:val="222222"/>
        </w:rPr>
      </w:pPr>
    </w:p>
    <w:p w:rsidR="005343F2" w:rsidRPr="002E68A1" w:rsidRDefault="005343F2" w:rsidP="005343F2">
      <w:pPr>
        <w:shd w:val="clear" w:color="auto" w:fill="FFFFFF"/>
        <w:rPr>
          <w:rFonts w:ascii="Garamond" w:eastAsia="Times New Roman" w:hAnsi="Garamond" w:cs="Arial"/>
          <w:color w:val="222222"/>
        </w:rPr>
      </w:pPr>
      <w:r w:rsidRPr="002E68A1">
        <w:rPr>
          <w:rFonts w:ascii="Garamond" w:eastAsia="Times New Roman" w:hAnsi="Garamond" w:cs="Arial"/>
          <w:color w:val="222222"/>
        </w:rPr>
        <w:t xml:space="preserve">This paper is a </w:t>
      </w:r>
      <w:r>
        <w:rPr>
          <w:rFonts w:ascii="Garamond" w:eastAsia="Times New Roman" w:hAnsi="Garamond" w:cs="Arial"/>
          <w:color w:val="222222"/>
        </w:rPr>
        <w:t>short not</w:t>
      </w:r>
      <w:r w:rsidR="00A64025">
        <w:rPr>
          <w:rFonts w:ascii="Garamond" w:eastAsia="Times New Roman" w:hAnsi="Garamond" w:cs="Arial"/>
          <w:color w:val="222222"/>
        </w:rPr>
        <w:t>e</w:t>
      </w:r>
      <w:r>
        <w:rPr>
          <w:rFonts w:ascii="Garamond" w:eastAsia="Times New Roman" w:hAnsi="Garamond" w:cs="Arial"/>
          <w:color w:val="222222"/>
        </w:rPr>
        <w:t xml:space="preserve"> </w:t>
      </w:r>
      <w:r w:rsidRPr="002E68A1">
        <w:rPr>
          <w:rFonts w:ascii="Garamond" w:eastAsia="Times New Roman" w:hAnsi="Garamond" w:cs="Arial"/>
          <w:color w:val="222222"/>
        </w:rPr>
        <w:t>respon</w:t>
      </w:r>
      <w:r>
        <w:rPr>
          <w:rFonts w:ascii="Garamond" w:eastAsia="Times New Roman" w:hAnsi="Garamond" w:cs="Arial"/>
          <w:color w:val="222222"/>
        </w:rPr>
        <w:t>ding</w:t>
      </w:r>
      <w:r w:rsidRPr="002E68A1">
        <w:rPr>
          <w:rFonts w:ascii="Garamond" w:eastAsia="Times New Roman" w:hAnsi="Garamond" w:cs="Arial"/>
          <w:color w:val="222222"/>
        </w:rPr>
        <w:t xml:space="preserve"> to </w:t>
      </w:r>
      <w:proofErr w:type="spellStart"/>
      <w:r w:rsidRPr="002E68A1">
        <w:rPr>
          <w:rFonts w:ascii="Garamond" w:eastAsia="Times New Roman" w:hAnsi="Garamond" w:cs="Arial"/>
          <w:color w:val="222222"/>
        </w:rPr>
        <w:t>Jc</w:t>
      </w:r>
      <w:proofErr w:type="spellEnd"/>
      <w:r w:rsidRPr="002E68A1">
        <w:rPr>
          <w:rFonts w:ascii="Garamond" w:eastAsia="Times New Roman" w:hAnsi="Garamond" w:cs="Arial"/>
          <w:color w:val="222222"/>
        </w:rPr>
        <w:t xml:space="preserve"> Beall and Jared Henderson</w:t>
      </w:r>
      <w:r>
        <w:rPr>
          <w:rFonts w:ascii="Garamond" w:eastAsia="Times New Roman" w:hAnsi="Garamond" w:cs="Arial"/>
          <w:color w:val="222222"/>
        </w:rPr>
        <w:t>’</w:t>
      </w:r>
      <w:r w:rsidRPr="002E68A1">
        <w:rPr>
          <w:rFonts w:ascii="Garamond" w:eastAsia="Times New Roman" w:hAnsi="Garamond" w:cs="Arial"/>
          <w:color w:val="222222"/>
        </w:rPr>
        <w:t xml:space="preserve">s </w:t>
      </w:r>
      <w:r>
        <w:rPr>
          <w:rFonts w:ascii="Garamond" w:eastAsia="Times New Roman" w:hAnsi="Garamond" w:cs="Arial"/>
          <w:color w:val="222222"/>
        </w:rPr>
        <w:t>“</w:t>
      </w:r>
      <w:r w:rsidRPr="002E68A1">
        <w:rPr>
          <w:rFonts w:ascii="Garamond" w:eastAsia="Times New Roman" w:hAnsi="Garamond" w:cs="Arial"/>
          <w:color w:val="222222"/>
        </w:rPr>
        <w:t>A Neglected Qua Solution to The Fundamental Problem of Christology</w:t>
      </w:r>
      <w:r>
        <w:rPr>
          <w:rFonts w:ascii="Garamond" w:eastAsia="Times New Roman" w:hAnsi="Garamond" w:cs="Arial"/>
          <w:color w:val="222222"/>
        </w:rPr>
        <w:t>”</w:t>
      </w:r>
      <w:r w:rsidRPr="002E68A1">
        <w:rPr>
          <w:rFonts w:ascii="Garamond" w:eastAsia="Times New Roman" w:hAnsi="Garamond" w:cs="Arial"/>
          <w:color w:val="222222"/>
        </w:rPr>
        <w:t>, In </w:t>
      </w:r>
      <w:r w:rsidRPr="002E68A1">
        <w:rPr>
          <w:rFonts w:ascii="Garamond" w:eastAsia="Times New Roman" w:hAnsi="Garamond" w:cs="Arial"/>
          <w:i/>
          <w:iCs/>
          <w:color w:val="222222"/>
        </w:rPr>
        <w:t>Faith and Philosophy</w:t>
      </w:r>
      <w:r w:rsidRPr="002E68A1">
        <w:rPr>
          <w:rFonts w:ascii="Garamond" w:eastAsia="Times New Roman" w:hAnsi="Garamond" w:cs="Arial"/>
          <w:color w:val="222222"/>
        </w:rPr>
        <w:t> 36(2):157--172 (2019). </w:t>
      </w:r>
    </w:p>
    <w:p w:rsidR="005343F2" w:rsidRPr="002E68A1" w:rsidRDefault="005343F2" w:rsidP="005343F2">
      <w:pPr>
        <w:shd w:val="clear" w:color="auto" w:fill="FFFFFF"/>
        <w:rPr>
          <w:rFonts w:ascii="Garamond" w:eastAsia="Times New Roman" w:hAnsi="Garamond" w:cs="Arial"/>
          <w:color w:val="222222"/>
        </w:rPr>
      </w:pPr>
    </w:p>
    <w:p w:rsidR="005343F2" w:rsidRPr="002E68A1" w:rsidRDefault="005343F2" w:rsidP="005343F2">
      <w:pPr>
        <w:shd w:val="clear" w:color="auto" w:fill="FFFFFF"/>
        <w:rPr>
          <w:rFonts w:ascii="Garamond" w:eastAsia="Times New Roman" w:hAnsi="Garamond" w:cs="Arial"/>
          <w:color w:val="222222"/>
        </w:rPr>
      </w:pPr>
      <w:r w:rsidRPr="002E68A1">
        <w:rPr>
          <w:rFonts w:ascii="Garamond" w:eastAsia="Times New Roman" w:hAnsi="Garamond" w:cs="Arial"/>
          <w:color w:val="222222"/>
        </w:rPr>
        <w:t>In t</w:t>
      </w:r>
      <w:r>
        <w:rPr>
          <w:rFonts w:ascii="Garamond" w:eastAsia="Times New Roman" w:hAnsi="Garamond" w:cs="Arial"/>
          <w:color w:val="222222"/>
        </w:rPr>
        <w:t>his</w:t>
      </w:r>
      <w:r w:rsidRPr="002E68A1">
        <w:rPr>
          <w:rFonts w:ascii="Garamond" w:eastAsia="Times New Roman" w:hAnsi="Garamond" w:cs="Arial"/>
          <w:color w:val="222222"/>
        </w:rPr>
        <w:t xml:space="preserve"> </w:t>
      </w:r>
      <w:r>
        <w:rPr>
          <w:rFonts w:ascii="Garamond" w:eastAsia="Times New Roman" w:hAnsi="Garamond" w:cs="Arial"/>
          <w:color w:val="222222"/>
        </w:rPr>
        <w:t>note</w:t>
      </w:r>
      <w:r w:rsidRPr="002E68A1">
        <w:rPr>
          <w:rFonts w:ascii="Garamond" w:eastAsia="Times New Roman" w:hAnsi="Garamond" w:cs="Arial"/>
          <w:color w:val="222222"/>
        </w:rPr>
        <w:t>, we press a new objection to Beall and Henderson</w:t>
      </w:r>
      <w:r>
        <w:rPr>
          <w:rFonts w:ascii="Garamond" w:eastAsia="Times New Roman" w:hAnsi="Garamond" w:cs="Arial"/>
          <w:color w:val="222222"/>
        </w:rPr>
        <w:t>’</w:t>
      </w:r>
      <w:r w:rsidRPr="002E68A1">
        <w:rPr>
          <w:rFonts w:ascii="Garamond" w:eastAsia="Times New Roman" w:hAnsi="Garamond" w:cs="Arial"/>
          <w:color w:val="222222"/>
        </w:rPr>
        <w:t>s 0-Qua view. Our objection, in brief, is that certain claims about Christ which we take to be distinctive of Christian belief are rendered, on Beall and Henderson</w:t>
      </w:r>
      <w:r>
        <w:rPr>
          <w:rFonts w:ascii="Garamond" w:eastAsia="Times New Roman" w:hAnsi="Garamond" w:cs="Arial"/>
          <w:color w:val="222222"/>
        </w:rPr>
        <w:t>’</w:t>
      </w:r>
      <w:r w:rsidRPr="002E68A1">
        <w:rPr>
          <w:rFonts w:ascii="Garamond" w:eastAsia="Times New Roman" w:hAnsi="Garamond" w:cs="Arial"/>
          <w:color w:val="222222"/>
        </w:rPr>
        <w:t>s account, either such th</w:t>
      </w:r>
      <w:bookmarkStart w:id="0" w:name="_GoBack"/>
      <w:bookmarkEnd w:id="0"/>
      <w:r w:rsidRPr="002E68A1">
        <w:rPr>
          <w:rFonts w:ascii="Garamond" w:eastAsia="Times New Roman" w:hAnsi="Garamond" w:cs="Arial"/>
          <w:color w:val="222222"/>
        </w:rPr>
        <w:t>at they cannot be truthfully believed by the Orthodox Christian, or being such that they can be truthfully believed by anyone familiar with the story of Christ. We think this objection makes a new contribution to the literature, and so will be of interest to your readership.</w:t>
      </w:r>
    </w:p>
    <w:p w:rsidR="005343F2" w:rsidRPr="002E68A1" w:rsidRDefault="005343F2" w:rsidP="005343F2">
      <w:pPr>
        <w:shd w:val="clear" w:color="auto" w:fill="FFFFFF"/>
        <w:rPr>
          <w:rFonts w:ascii="Garamond" w:eastAsia="Times New Roman" w:hAnsi="Garamond" w:cs="Arial"/>
          <w:color w:val="222222"/>
        </w:rPr>
      </w:pPr>
    </w:p>
    <w:p w:rsidR="005343F2" w:rsidRPr="002E68A1" w:rsidRDefault="005343F2" w:rsidP="005343F2">
      <w:pPr>
        <w:shd w:val="clear" w:color="auto" w:fill="FFFFFF"/>
        <w:rPr>
          <w:rFonts w:ascii="Garamond" w:eastAsia="Times New Roman" w:hAnsi="Garamond" w:cs="Arial"/>
          <w:color w:val="222222"/>
        </w:rPr>
      </w:pPr>
      <w:r>
        <w:rPr>
          <w:rFonts w:ascii="Garamond" w:eastAsia="Times New Roman" w:hAnsi="Garamond" w:cs="Arial"/>
          <w:color w:val="222222"/>
        </w:rPr>
        <w:t>Because it is a response note, it is only</w:t>
      </w:r>
      <w:r w:rsidRPr="002E68A1">
        <w:rPr>
          <w:rFonts w:ascii="Garamond" w:eastAsia="Times New Roman" w:hAnsi="Garamond" w:cs="Arial"/>
          <w:color w:val="222222"/>
        </w:rPr>
        <w:t xml:space="preserve"> 2,0</w:t>
      </w:r>
      <w:r w:rsidR="00772002">
        <w:rPr>
          <w:rFonts w:ascii="Garamond" w:eastAsia="Times New Roman" w:hAnsi="Garamond" w:cs="Arial"/>
          <w:color w:val="222222"/>
        </w:rPr>
        <w:t>51</w:t>
      </w:r>
      <w:r w:rsidRPr="002E68A1">
        <w:rPr>
          <w:rFonts w:ascii="Garamond" w:eastAsia="Times New Roman" w:hAnsi="Garamond" w:cs="Arial"/>
          <w:color w:val="222222"/>
        </w:rPr>
        <w:t xml:space="preserve"> words lon</w:t>
      </w:r>
      <w:r>
        <w:rPr>
          <w:rFonts w:ascii="Garamond" w:eastAsia="Times New Roman" w:hAnsi="Garamond" w:cs="Arial"/>
          <w:color w:val="222222"/>
        </w:rPr>
        <w:t xml:space="preserve">g. </w:t>
      </w:r>
      <w:r w:rsidRPr="002E68A1">
        <w:rPr>
          <w:rFonts w:ascii="Garamond" w:eastAsia="Times New Roman" w:hAnsi="Garamond" w:cs="Arial"/>
          <w:color w:val="222222"/>
        </w:rPr>
        <w:t xml:space="preserve"> </w:t>
      </w:r>
      <w:r>
        <w:rPr>
          <w:rFonts w:ascii="Garamond" w:eastAsia="Times New Roman" w:hAnsi="Garamond" w:cs="Arial"/>
          <w:color w:val="222222"/>
        </w:rPr>
        <w:t>W</w:t>
      </w:r>
      <w:r w:rsidRPr="002E68A1">
        <w:rPr>
          <w:rFonts w:ascii="Garamond" w:eastAsia="Times New Roman" w:hAnsi="Garamond" w:cs="Arial"/>
          <w:color w:val="222222"/>
        </w:rPr>
        <w:t>e hope you</w:t>
      </w:r>
      <w:r>
        <w:rPr>
          <w:rFonts w:ascii="Garamond" w:eastAsia="Times New Roman" w:hAnsi="Garamond" w:cs="Arial"/>
          <w:color w:val="222222"/>
        </w:rPr>
        <w:t>’</w:t>
      </w:r>
      <w:r w:rsidRPr="002E68A1">
        <w:rPr>
          <w:rFonts w:ascii="Garamond" w:eastAsia="Times New Roman" w:hAnsi="Garamond" w:cs="Arial"/>
          <w:color w:val="222222"/>
        </w:rPr>
        <w:t>ll agree that this length is adequate to present our objection and those elements of Beall and Henderson</w:t>
      </w:r>
      <w:r>
        <w:rPr>
          <w:rFonts w:ascii="Garamond" w:eastAsia="Times New Roman" w:hAnsi="Garamond" w:cs="Arial"/>
          <w:color w:val="222222"/>
        </w:rPr>
        <w:t>’</w:t>
      </w:r>
      <w:r w:rsidRPr="002E68A1">
        <w:rPr>
          <w:rFonts w:ascii="Garamond" w:eastAsia="Times New Roman" w:hAnsi="Garamond" w:cs="Arial"/>
          <w:color w:val="222222"/>
        </w:rPr>
        <w:t>s views which are needed in order for our objection to be understood.</w:t>
      </w:r>
    </w:p>
    <w:p w:rsidR="005343F2" w:rsidRPr="002E68A1" w:rsidRDefault="005343F2" w:rsidP="005343F2">
      <w:pPr>
        <w:shd w:val="clear" w:color="auto" w:fill="FFFFFF"/>
        <w:rPr>
          <w:rFonts w:ascii="Garamond" w:eastAsia="Times New Roman" w:hAnsi="Garamond" w:cs="Arial"/>
          <w:color w:val="222222"/>
        </w:rPr>
      </w:pPr>
    </w:p>
    <w:p w:rsidR="005343F2" w:rsidRPr="002E68A1" w:rsidRDefault="005343F2" w:rsidP="005343F2">
      <w:pPr>
        <w:shd w:val="clear" w:color="auto" w:fill="FFFFFF"/>
        <w:rPr>
          <w:rFonts w:ascii="Garamond" w:eastAsia="Times New Roman" w:hAnsi="Garamond" w:cs="Arial"/>
          <w:color w:val="222222"/>
        </w:rPr>
      </w:pPr>
      <w:r>
        <w:rPr>
          <w:rFonts w:ascii="Garamond" w:eastAsia="Times New Roman" w:hAnsi="Garamond" w:cs="Arial"/>
          <w:color w:val="222222"/>
        </w:rPr>
        <w:t xml:space="preserve">Attached are copies of the paper and this cover letter in MS Doc format. </w:t>
      </w:r>
      <w:r w:rsidRPr="002E68A1">
        <w:rPr>
          <w:rFonts w:ascii="Garamond" w:eastAsia="Times New Roman" w:hAnsi="Garamond" w:cs="Arial"/>
          <w:color w:val="222222"/>
        </w:rPr>
        <w:t>The authors along with their affiliations and email addresses, are as follows:</w:t>
      </w:r>
    </w:p>
    <w:p w:rsidR="005343F2" w:rsidRPr="002E68A1" w:rsidRDefault="005343F2" w:rsidP="005343F2">
      <w:pPr>
        <w:shd w:val="clear" w:color="auto" w:fill="FFFFFF"/>
        <w:rPr>
          <w:rFonts w:ascii="Garamond" w:eastAsia="Times New Roman" w:hAnsi="Garamond" w:cs="Arial"/>
          <w:color w:val="222222"/>
        </w:rPr>
      </w:pPr>
    </w:p>
    <w:p w:rsidR="005343F2" w:rsidRPr="002E68A1" w:rsidRDefault="005343F2" w:rsidP="005343F2">
      <w:pPr>
        <w:shd w:val="clear" w:color="auto" w:fill="FFFFFF"/>
        <w:rPr>
          <w:rFonts w:ascii="Garamond" w:eastAsia="Times New Roman" w:hAnsi="Garamond" w:cs="Arial"/>
          <w:color w:val="222222"/>
        </w:rPr>
      </w:pPr>
      <w:r w:rsidRPr="002E68A1">
        <w:rPr>
          <w:rFonts w:ascii="Garamond" w:eastAsia="Times New Roman" w:hAnsi="Garamond" w:cs="Arial"/>
          <w:color w:val="222222"/>
        </w:rPr>
        <w:t>Grace Paterson, The University of Vienna, </w:t>
      </w:r>
      <w:hyperlink r:id="rId4" w:tgtFrame="_blank" w:history="1">
        <w:r w:rsidRPr="002E68A1">
          <w:rPr>
            <w:rFonts w:ascii="Garamond" w:eastAsia="Times New Roman" w:hAnsi="Garamond" w:cs="Arial"/>
            <w:color w:val="1155CC"/>
            <w:u w:val="single"/>
          </w:rPr>
          <w:t>grace.paterson@univie.ac.at</w:t>
        </w:r>
      </w:hyperlink>
    </w:p>
    <w:p w:rsidR="005343F2" w:rsidRPr="002E68A1" w:rsidRDefault="005343F2" w:rsidP="005343F2">
      <w:pPr>
        <w:shd w:val="clear" w:color="auto" w:fill="FFFFFF"/>
        <w:rPr>
          <w:rFonts w:ascii="Garamond" w:eastAsia="Times New Roman" w:hAnsi="Garamond" w:cs="Arial"/>
          <w:color w:val="222222"/>
        </w:rPr>
      </w:pPr>
      <w:r w:rsidRPr="002E68A1">
        <w:rPr>
          <w:rFonts w:ascii="Garamond" w:eastAsia="Times New Roman" w:hAnsi="Garamond" w:cs="Arial"/>
          <w:color w:val="222222"/>
        </w:rPr>
        <w:t>David W. Ripley, Monash University, </w:t>
      </w:r>
      <w:hyperlink r:id="rId5" w:tgtFrame="_blank" w:history="1">
        <w:r w:rsidRPr="002E68A1">
          <w:rPr>
            <w:rFonts w:ascii="Garamond" w:eastAsia="Times New Roman" w:hAnsi="Garamond" w:cs="Arial"/>
            <w:color w:val="1155CC"/>
            <w:u w:val="single"/>
          </w:rPr>
          <w:t>davewripley@gmail.com</w:t>
        </w:r>
      </w:hyperlink>
    </w:p>
    <w:p w:rsidR="005343F2" w:rsidRPr="002E68A1" w:rsidRDefault="005343F2" w:rsidP="005343F2">
      <w:pPr>
        <w:shd w:val="clear" w:color="auto" w:fill="FFFFFF"/>
        <w:rPr>
          <w:rFonts w:ascii="Garamond" w:eastAsia="Times New Roman" w:hAnsi="Garamond" w:cs="Arial"/>
          <w:color w:val="222222"/>
        </w:rPr>
      </w:pPr>
      <w:r w:rsidRPr="002E68A1">
        <w:rPr>
          <w:rFonts w:ascii="Garamond" w:eastAsia="Times New Roman" w:hAnsi="Garamond" w:cs="Arial"/>
          <w:color w:val="222222"/>
        </w:rPr>
        <w:t>Andrew Tedder, The Czech Academy of Sciences, </w:t>
      </w:r>
      <w:hyperlink r:id="rId6" w:tgtFrame="_blank" w:history="1">
        <w:r w:rsidRPr="002E68A1">
          <w:rPr>
            <w:rFonts w:ascii="Garamond" w:eastAsia="Times New Roman" w:hAnsi="Garamond" w:cs="Arial"/>
            <w:color w:val="1155CC"/>
            <w:u w:val="single"/>
          </w:rPr>
          <w:t>ajtedder.at@gmail.com</w:t>
        </w:r>
      </w:hyperlink>
    </w:p>
    <w:p w:rsidR="005343F2" w:rsidRPr="002E68A1" w:rsidRDefault="005343F2" w:rsidP="005343F2">
      <w:pPr>
        <w:shd w:val="clear" w:color="auto" w:fill="FFFFFF"/>
        <w:rPr>
          <w:rFonts w:ascii="Garamond" w:eastAsia="Times New Roman" w:hAnsi="Garamond" w:cs="Arial"/>
          <w:color w:val="222222"/>
        </w:rPr>
      </w:pPr>
    </w:p>
    <w:p w:rsidR="005343F2" w:rsidRPr="002E68A1" w:rsidRDefault="005343F2" w:rsidP="005343F2">
      <w:pPr>
        <w:shd w:val="clear" w:color="auto" w:fill="FFFFFF"/>
        <w:rPr>
          <w:rFonts w:ascii="Garamond" w:eastAsia="Times New Roman" w:hAnsi="Garamond" w:cs="Arial"/>
          <w:color w:val="222222"/>
        </w:rPr>
      </w:pPr>
      <w:r w:rsidRPr="002E68A1">
        <w:rPr>
          <w:rFonts w:ascii="Garamond" w:eastAsia="Times New Roman" w:hAnsi="Garamond" w:cs="Arial"/>
          <w:color w:val="222222"/>
        </w:rPr>
        <w:t>The title and abstract are as follows:</w:t>
      </w:r>
    </w:p>
    <w:p w:rsidR="005343F2" w:rsidRPr="002E68A1" w:rsidRDefault="005343F2" w:rsidP="005343F2">
      <w:pPr>
        <w:shd w:val="clear" w:color="auto" w:fill="FFFFFF"/>
        <w:rPr>
          <w:rFonts w:ascii="Garamond" w:eastAsia="Times New Roman" w:hAnsi="Garamond" w:cs="Arial"/>
          <w:color w:val="222222"/>
        </w:rPr>
      </w:pPr>
    </w:p>
    <w:p w:rsidR="005343F2" w:rsidRPr="002E68A1" w:rsidRDefault="005343F2" w:rsidP="005343F2">
      <w:pPr>
        <w:shd w:val="clear" w:color="auto" w:fill="FFFFFF"/>
        <w:rPr>
          <w:rFonts w:ascii="Garamond" w:eastAsia="Times New Roman" w:hAnsi="Garamond" w:cs="Arial"/>
          <w:color w:val="222222"/>
        </w:rPr>
      </w:pPr>
      <w:r w:rsidRPr="002E68A1">
        <w:rPr>
          <w:rFonts w:ascii="Garamond" w:eastAsia="Times New Roman" w:hAnsi="Garamond" w:cs="Arial"/>
          <w:color w:val="222222"/>
        </w:rPr>
        <w:t>Title: Qua Solution, 0-Qua Has Problems</w:t>
      </w:r>
    </w:p>
    <w:p w:rsidR="005343F2" w:rsidRPr="002E68A1" w:rsidRDefault="005343F2" w:rsidP="005343F2">
      <w:pPr>
        <w:shd w:val="clear" w:color="auto" w:fill="FFFFFF"/>
        <w:rPr>
          <w:rFonts w:ascii="Garamond" w:eastAsia="Times New Roman" w:hAnsi="Garamond" w:cs="Arial"/>
          <w:color w:val="222222"/>
        </w:rPr>
      </w:pPr>
    </w:p>
    <w:p w:rsidR="005343F2" w:rsidRPr="002E68A1" w:rsidRDefault="005343F2" w:rsidP="005343F2">
      <w:pPr>
        <w:shd w:val="clear" w:color="auto" w:fill="FFFFFF"/>
        <w:rPr>
          <w:rFonts w:ascii="Garamond" w:eastAsia="Times New Roman" w:hAnsi="Garamond" w:cs="Arial"/>
          <w:color w:val="222222"/>
        </w:rPr>
      </w:pPr>
      <w:r w:rsidRPr="002E68A1">
        <w:rPr>
          <w:rFonts w:ascii="Garamond" w:eastAsia="Times New Roman" w:hAnsi="Garamond" w:cs="Arial"/>
          <w:color w:val="222222"/>
        </w:rPr>
        <w:t>Abstract:</w:t>
      </w:r>
      <w:r>
        <w:rPr>
          <w:rFonts w:ascii="Garamond" w:eastAsia="Times New Roman" w:hAnsi="Garamond" w:cs="Arial"/>
          <w:color w:val="222222"/>
        </w:rPr>
        <w:t xml:space="preserve"> </w:t>
      </w:r>
      <w:r w:rsidRPr="006C5BF9">
        <w:rPr>
          <w:rFonts w:ascii="Garamond" w:hAnsi="Garamond" w:cs="Linux Libertine Display O"/>
        </w:rPr>
        <w:t>We present an objection to Beall &amp; Henderson</w:t>
      </w:r>
      <w:r>
        <w:rPr>
          <w:rFonts w:ascii="Garamond" w:hAnsi="Garamond" w:cs="Linux Libertine Display O"/>
        </w:rPr>
        <w:t>’</w:t>
      </w:r>
      <w:r w:rsidRPr="006C5BF9">
        <w:rPr>
          <w:rFonts w:ascii="Garamond" w:hAnsi="Garamond" w:cs="Linux Libertine Display O"/>
        </w:rPr>
        <w:t xml:space="preserve">s recent paper defending a solution to the fundamental problem of conciliar Christology using qua or </w:t>
      </w:r>
      <w:proofErr w:type="spellStart"/>
      <w:r w:rsidRPr="006C5BF9">
        <w:rPr>
          <w:rFonts w:ascii="Garamond" w:hAnsi="Garamond" w:cs="Linux Libertine Display O"/>
        </w:rPr>
        <w:t>secundum</w:t>
      </w:r>
      <w:proofErr w:type="spellEnd"/>
      <w:r w:rsidRPr="006C5BF9">
        <w:rPr>
          <w:rFonts w:ascii="Garamond" w:hAnsi="Garamond" w:cs="Linux Libertine Display O"/>
        </w:rPr>
        <w:t xml:space="preserve"> clauses. We argue that certain claims the acceptance/rejection of which distinguish the </w:t>
      </w:r>
      <w:r>
        <w:rPr>
          <w:rFonts w:ascii="Garamond" w:hAnsi="Garamond" w:cs="Linux Libertine Display O"/>
        </w:rPr>
        <w:t>Conciliar</w:t>
      </w:r>
      <w:r w:rsidRPr="006C5BF9">
        <w:rPr>
          <w:rFonts w:ascii="Garamond" w:hAnsi="Garamond" w:cs="Linux Libertine Display O"/>
        </w:rPr>
        <w:t xml:space="preserve"> Christian from others fail to so distinguish on Beall &amp; Henderson’s 0-Qua view. This is because on their 0-Qua account, these claims are either acceptable </w:t>
      </w:r>
      <w:r>
        <w:rPr>
          <w:rFonts w:ascii="Garamond" w:hAnsi="Garamond" w:cs="Linux Libertine Display O"/>
        </w:rPr>
        <w:t>both to</w:t>
      </w:r>
      <w:r w:rsidRPr="006C5BF9">
        <w:rPr>
          <w:rFonts w:ascii="Garamond" w:hAnsi="Garamond" w:cs="Linux Libertine Display O"/>
        </w:rPr>
        <w:t xml:space="preserve"> </w:t>
      </w:r>
      <w:r>
        <w:rPr>
          <w:rFonts w:ascii="Garamond" w:hAnsi="Garamond" w:cs="Linux Libertine Display O"/>
        </w:rPr>
        <w:t>Conciliar</w:t>
      </w:r>
      <w:r w:rsidRPr="006C5BF9">
        <w:rPr>
          <w:rFonts w:ascii="Garamond" w:hAnsi="Garamond" w:cs="Linux Libertine Display O"/>
        </w:rPr>
        <w:t xml:space="preserve"> Christian</w:t>
      </w:r>
      <w:r>
        <w:rPr>
          <w:rFonts w:ascii="Garamond" w:hAnsi="Garamond" w:cs="Linux Libertine Display O"/>
        </w:rPr>
        <w:t>s</w:t>
      </w:r>
      <w:r w:rsidRPr="006C5BF9">
        <w:rPr>
          <w:rFonts w:ascii="Garamond" w:hAnsi="Garamond" w:cs="Linux Libertine Display O"/>
        </w:rPr>
        <w:t xml:space="preserve"> a</w:t>
      </w:r>
      <w:r>
        <w:rPr>
          <w:rFonts w:ascii="Garamond" w:hAnsi="Garamond" w:cs="Linux Libertine Display O"/>
        </w:rPr>
        <w:t>s well as those who are not Conciliar Christians</w:t>
      </w:r>
      <w:r w:rsidRPr="006C5BF9">
        <w:rPr>
          <w:rFonts w:ascii="Garamond" w:hAnsi="Garamond" w:cs="Linux Libertine Display O"/>
        </w:rPr>
        <w:t xml:space="preserve"> or because they are acceptable to neither.</w:t>
      </w:r>
    </w:p>
    <w:p w:rsidR="005343F2" w:rsidRPr="002E68A1" w:rsidRDefault="005343F2" w:rsidP="005343F2">
      <w:pPr>
        <w:shd w:val="clear" w:color="auto" w:fill="FFFFFF"/>
        <w:rPr>
          <w:rFonts w:ascii="Garamond" w:eastAsia="Times New Roman" w:hAnsi="Garamond" w:cs="Arial"/>
          <w:color w:val="222222"/>
        </w:rPr>
      </w:pPr>
    </w:p>
    <w:p w:rsidR="005343F2" w:rsidRPr="002E68A1" w:rsidRDefault="005343F2" w:rsidP="005343F2">
      <w:pPr>
        <w:shd w:val="clear" w:color="auto" w:fill="FFFFFF"/>
        <w:rPr>
          <w:rFonts w:ascii="Garamond" w:eastAsia="Times New Roman" w:hAnsi="Garamond" w:cs="Arial"/>
          <w:color w:val="222222"/>
        </w:rPr>
      </w:pPr>
      <w:r w:rsidRPr="002E68A1">
        <w:rPr>
          <w:rFonts w:ascii="Garamond" w:eastAsia="Times New Roman" w:hAnsi="Garamond" w:cs="Arial"/>
          <w:color w:val="222222"/>
        </w:rPr>
        <w:t>Thank you for considering this paper, please direct any future correspondence to me. </w:t>
      </w:r>
    </w:p>
    <w:p w:rsidR="005343F2" w:rsidRDefault="005343F2" w:rsidP="005343F2">
      <w:pPr>
        <w:shd w:val="clear" w:color="auto" w:fill="FFFFFF"/>
        <w:rPr>
          <w:rFonts w:ascii="Garamond" w:eastAsia="Times New Roman" w:hAnsi="Garamond" w:cs="Arial"/>
          <w:color w:val="222222"/>
        </w:rPr>
      </w:pPr>
    </w:p>
    <w:p w:rsidR="005343F2" w:rsidRDefault="005343F2" w:rsidP="005343F2">
      <w:pPr>
        <w:shd w:val="clear" w:color="auto" w:fill="FFFFFF"/>
        <w:rPr>
          <w:rFonts w:ascii="Garamond" w:eastAsia="Times New Roman" w:hAnsi="Garamond" w:cs="Arial"/>
          <w:color w:val="222222"/>
        </w:rPr>
      </w:pPr>
      <w:r w:rsidRPr="002E68A1">
        <w:rPr>
          <w:rFonts w:ascii="Garamond" w:eastAsia="Times New Roman" w:hAnsi="Garamond" w:cs="Arial"/>
          <w:color w:val="222222"/>
        </w:rPr>
        <w:t>Sincerely, </w:t>
      </w:r>
    </w:p>
    <w:p w:rsidR="005343F2" w:rsidRDefault="005343F2" w:rsidP="005343F2">
      <w:pPr>
        <w:shd w:val="clear" w:color="auto" w:fill="FFFFFF"/>
        <w:rPr>
          <w:rFonts w:ascii="Garamond" w:eastAsia="Times New Roman" w:hAnsi="Garamond" w:cs="Arial"/>
          <w:color w:val="222222"/>
        </w:rPr>
      </w:pPr>
    </w:p>
    <w:p w:rsidR="005343F2" w:rsidRDefault="005343F2" w:rsidP="005343F2">
      <w:pPr>
        <w:shd w:val="clear" w:color="auto" w:fill="FFFFFF"/>
        <w:rPr>
          <w:rFonts w:ascii="Garamond" w:eastAsia="Times New Roman" w:hAnsi="Garamond" w:cs="Arial"/>
          <w:color w:val="222222"/>
        </w:rPr>
      </w:pPr>
    </w:p>
    <w:p w:rsidR="005343F2" w:rsidRDefault="005343F2" w:rsidP="005343F2">
      <w:pPr>
        <w:shd w:val="clear" w:color="auto" w:fill="FFFFFF"/>
        <w:rPr>
          <w:rFonts w:ascii="Garamond" w:eastAsia="Times New Roman" w:hAnsi="Garamond" w:cs="Arial"/>
          <w:color w:val="222222"/>
        </w:rPr>
      </w:pPr>
      <w:r>
        <w:rPr>
          <w:rFonts w:ascii="Garamond" w:eastAsia="Times New Roman" w:hAnsi="Garamond" w:cs="Arial"/>
          <w:color w:val="222222"/>
        </w:rPr>
        <w:t>Dr. Andrew Tedder</w:t>
      </w:r>
    </w:p>
    <w:p w:rsidR="005343F2" w:rsidRPr="002E68A1" w:rsidRDefault="005343F2" w:rsidP="005343F2">
      <w:pPr>
        <w:shd w:val="clear" w:color="auto" w:fill="FFFFFF"/>
        <w:rPr>
          <w:rFonts w:ascii="Garamond" w:eastAsia="Times New Roman" w:hAnsi="Garamond" w:cs="Arial"/>
          <w:color w:val="222222"/>
        </w:rPr>
      </w:pPr>
      <w:r>
        <w:rPr>
          <w:rFonts w:ascii="Garamond" w:eastAsia="Times New Roman" w:hAnsi="Garamond" w:cs="Arial"/>
          <w:color w:val="222222"/>
        </w:rPr>
        <w:t>The Czech Academy of Sciences</w:t>
      </w:r>
    </w:p>
    <w:p w:rsidR="00561D70" w:rsidRDefault="00772002"/>
    <w:sectPr w:rsidR="00561D70" w:rsidSect="0012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nux Libertine Display O">
    <w:altName w:val="Cambria"/>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F2"/>
    <w:rsid w:val="0012655D"/>
    <w:rsid w:val="004653BC"/>
    <w:rsid w:val="005343F2"/>
    <w:rsid w:val="00772002"/>
    <w:rsid w:val="00A6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28801"/>
  <w15:chartTrackingRefBased/>
  <w15:docId w15:val="{985DEE31-A08F-EA47-BBCE-CBBBBB3B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tedder.at@gmail.com" TargetMode="External"/><Relationship Id="rId5" Type="http://schemas.openxmlformats.org/officeDocument/2006/relationships/hyperlink" Target="mailto:davewripley@gmail.com" TargetMode="External"/><Relationship Id="rId4" Type="http://schemas.openxmlformats.org/officeDocument/2006/relationships/hyperlink" Target="mailto:grace.paterson@univie.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2019-12-30T21:45:00Z</dcterms:created>
  <dcterms:modified xsi:type="dcterms:W3CDTF">2019-12-30T21:52:00Z</dcterms:modified>
</cp:coreProperties>
</file>